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4E" w:rsidRDefault="000C024E" w:rsidP="000C024E">
      <w:pPr>
        <w:rPr>
          <w:b/>
          <w:sz w:val="32"/>
        </w:rPr>
      </w:pPr>
      <w:bookmarkStart w:id="0" w:name="_GoBack"/>
      <w:bookmarkEnd w:id="0"/>
    </w:p>
    <w:p w:rsidR="000C024E" w:rsidRPr="00840EC3" w:rsidRDefault="000C024E" w:rsidP="000C024E">
      <w:pPr>
        <w:rPr>
          <w:b/>
          <w:sz w:val="32"/>
        </w:rPr>
      </w:pPr>
      <w:r w:rsidRPr="009A4D8B">
        <w:rPr>
          <w:b/>
          <w:sz w:val="32"/>
        </w:rPr>
        <w:t>Ad</w:t>
      </w:r>
      <w:r w:rsidRPr="00840EC3">
        <w:rPr>
          <w:b/>
          <w:sz w:val="32"/>
        </w:rPr>
        <w:t xml:space="preserve">ult Day Services in </w:t>
      </w:r>
      <w:r w:rsidRPr="00840EC3">
        <w:rPr>
          <w:b/>
          <w:noProof/>
          <w:sz w:val="32"/>
        </w:rPr>
        <w:t>Ohio</w:t>
      </w:r>
      <w:r w:rsidRPr="00840EC3">
        <w:rPr>
          <w:b/>
          <w:sz w:val="32"/>
        </w:rPr>
        <w:t>: A Valuable Option in Aging Services</w:t>
      </w:r>
    </w:p>
    <w:p w:rsidR="000C024E" w:rsidRPr="00840EC3" w:rsidRDefault="000C024E" w:rsidP="000C024E">
      <w:pPr>
        <w:rPr>
          <w:szCs w:val="23"/>
        </w:rPr>
      </w:pPr>
      <w:r w:rsidRPr="00840EC3">
        <w:rPr>
          <w:szCs w:val="23"/>
        </w:rPr>
        <w:t xml:space="preserve">Adult day services are a community-based option where older adults and people with disabilities can receive the long-term services and supports (LTSS) they need while staying at home and in their communities. </w:t>
      </w:r>
    </w:p>
    <w:p w:rsidR="000C024E" w:rsidRPr="00840EC3" w:rsidRDefault="000C024E" w:rsidP="000C024E">
      <w:pPr>
        <w:rPr>
          <w:szCs w:val="23"/>
        </w:rPr>
      </w:pPr>
      <w:r w:rsidRPr="00840EC3">
        <w:rPr>
          <w:szCs w:val="23"/>
        </w:rPr>
        <w:t xml:space="preserve">This fact sheet provides important information about adult day services, why they are important to </w:t>
      </w:r>
      <w:r w:rsidRPr="00840EC3">
        <w:rPr>
          <w:noProof/>
          <w:szCs w:val="23"/>
        </w:rPr>
        <w:t>Ohio</w:t>
      </w:r>
      <w:r w:rsidRPr="00840EC3">
        <w:rPr>
          <w:szCs w:val="23"/>
        </w:rPr>
        <w:t xml:space="preserve"> and data specific to the state about adult day services providers.</w:t>
      </w:r>
    </w:p>
    <w:p w:rsidR="000C024E" w:rsidRPr="00840EC3" w:rsidRDefault="000C024E" w:rsidP="000C024E">
      <w:pPr>
        <w:rPr>
          <w:b/>
          <w:szCs w:val="23"/>
        </w:rPr>
      </w:pPr>
      <w:r w:rsidRPr="00840EC3">
        <w:rPr>
          <w:b/>
          <w:szCs w:val="23"/>
        </w:rPr>
        <w:t>How Adult Day Services Operate</w:t>
      </w:r>
    </w:p>
    <w:p w:rsidR="000C024E" w:rsidRPr="00840EC3" w:rsidRDefault="000C024E" w:rsidP="000C024E">
      <w:pPr>
        <w:rPr>
          <w:szCs w:val="23"/>
        </w:rPr>
      </w:pPr>
      <w:r w:rsidRPr="00840EC3">
        <w:rPr>
          <w:szCs w:val="23"/>
        </w:rPr>
        <w:t>While each adult day services center is unique, adult day services centers typically provide meals, social activities and a range of services, including dietary, social work, transportation and therapeutic services (e.g., physical therapy). Many adult day services centers also provide access to health care, including skilled nursing, mental health and dental care.</w:t>
      </w:r>
    </w:p>
    <w:p w:rsidR="000C024E" w:rsidRPr="00840EC3" w:rsidRDefault="000C024E" w:rsidP="000C024E">
      <w:pPr>
        <w:rPr>
          <w:szCs w:val="23"/>
        </w:rPr>
      </w:pPr>
      <w:r w:rsidRPr="00840EC3">
        <w:rPr>
          <w:szCs w:val="23"/>
        </w:rPr>
        <w:t>People served by adult day services providers generally can go to adult day services centers up to five days per week during business hours. Some providers also offer services during evenings and weekends.</w:t>
      </w:r>
    </w:p>
    <w:p w:rsidR="000C024E" w:rsidRPr="00840EC3" w:rsidRDefault="000C024E" w:rsidP="000C024E">
      <w:pPr>
        <w:rPr>
          <w:szCs w:val="23"/>
        </w:rPr>
      </w:pPr>
      <w:r w:rsidRPr="00840EC3">
        <w:rPr>
          <w:szCs w:val="23"/>
        </w:rPr>
        <w:t xml:space="preserve">In </w:t>
      </w:r>
      <w:r w:rsidRPr="00840EC3">
        <w:rPr>
          <w:noProof/>
          <w:szCs w:val="23"/>
        </w:rPr>
        <w:t>Ohio</w:t>
      </w:r>
      <w:r w:rsidRPr="00840EC3">
        <w:rPr>
          <w:szCs w:val="23"/>
        </w:rPr>
        <w:t xml:space="preserve">, there are about </w:t>
      </w:r>
      <w:r w:rsidRPr="00840EC3">
        <w:rPr>
          <w:noProof/>
          <w:szCs w:val="23"/>
        </w:rPr>
        <w:t>100</w:t>
      </w:r>
      <w:r w:rsidRPr="00840EC3">
        <w:rPr>
          <w:szCs w:val="23"/>
        </w:rPr>
        <w:t xml:space="preserve"> adult day services providers, who serve an average up to </w:t>
      </w:r>
      <w:r w:rsidRPr="00840EC3">
        <w:rPr>
          <w:noProof/>
          <w:szCs w:val="23"/>
        </w:rPr>
        <w:t>about 50</w:t>
      </w:r>
      <w:r w:rsidRPr="00840EC3">
        <w:rPr>
          <w:szCs w:val="23"/>
        </w:rPr>
        <w:t xml:space="preserve"> people. Most are not-for-profit and/or government providers (</w:t>
      </w:r>
      <w:r w:rsidRPr="00840EC3">
        <w:rPr>
          <w:noProof/>
          <w:szCs w:val="23"/>
        </w:rPr>
        <w:t>72</w:t>
      </w:r>
      <w:r w:rsidRPr="00840EC3">
        <w:rPr>
          <w:szCs w:val="23"/>
        </w:rPr>
        <w:t>%).</w:t>
      </w:r>
      <w:r w:rsidRPr="00840EC3">
        <w:rPr>
          <w:rStyle w:val="EndnoteReference"/>
          <w:szCs w:val="23"/>
        </w:rPr>
        <w:endnoteReference w:id="1"/>
      </w:r>
    </w:p>
    <w:p w:rsidR="000C024E" w:rsidRPr="00840EC3" w:rsidRDefault="000C024E" w:rsidP="000C024E">
      <w:pPr>
        <w:rPr>
          <w:b/>
          <w:szCs w:val="23"/>
        </w:rPr>
      </w:pPr>
      <w:r w:rsidRPr="00840EC3">
        <w:rPr>
          <w:b/>
          <w:szCs w:val="23"/>
        </w:rPr>
        <w:t>Adult Day Services Provide Care to Older Adults and People with Chronic Conditions</w:t>
      </w:r>
    </w:p>
    <w:tbl>
      <w:tblPr>
        <w:tblStyle w:val="TableGrid"/>
        <w:tblpPr w:leftFromText="180" w:rightFromText="180" w:vertAnchor="text" w:horzAnchor="margin" w:tblpXSpec="right" w:tblpY="78"/>
        <w:tblOverlap w:val="never"/>
        <w:tblW w:w="0" w:type="auto"/>
        <w:jc w:val="right"/>
        <w:tblLook w:val="04A0" w:firstRow="1" w:lastRow="0" w:firstColumn="1" w:lastColumn="0" w:noHBand="0" w:noVBand="1"/>
      </w:tblPr>
      <w:tblGrid>
        <w:gridCol w:w="2520"/>
        <w:gridCol w:w="2610"/>
      </w:tblGrid>
      <w:tr w:rsidR="000C024E" w:rsidRPr="00840EC3" w:rsidTr="00F320A7">
        <w:trPr>
          <w:trHeight w:val="207"/>
          <w:jc w:val="right"/>
        </w:trPr>
        <w:tc>
          <w:tcPr>
            <w:tcW w:w="2520" w:type="dxa"/>
          </w:tcPr>
          <w:p w:rsidR="000C024E" w:rsidRPr="00840EC3" w:rsidRDefault="000C024E" w:rsidP="00F320A7">
            <w:pPr>
              <w:rPr>
                <w:b/>
                <w:szCs w:val="23"/>
              </w:rPr>
            </w:pPr>
            <w:r w:rsidRPr="00840EC3">
              <w:rPr>
                <w:b/>
                <w:szCs w:val="23"/>
              </w:rPr>
              <w:t>Diagnosis</w:t>
            </w:r>
          </w:p>
        </w:tc>
        <w:tc>
          <w:tcPr>
            <w:tcW w:w="2610" w:type="dxa"/>
          </w:tcPr>
          <w:p w:rsidR="000C024E" w:rsidRPr="00840EC3" w:rsidRDefault="000C024E" w:rsidP="00F320A7">
            <w:pPr>
              <w:rPr>
                <w:b/>
                <w:szCs w:val="23"/>
              </w:rPr>
            </w:pPr>
            <w:r w:rsidRPr="00840EC3">
              <w:rPr>
                <w:b/>
                <w:szCs w:val="23"/>
              </w:rPr>
              <w:t xml:space="preserve">Percent of Adult Day Services Participants with Diagnosis </w:t>
            </w:r>
          </w:p>
        </w:tc>
      </w:tr>
      <w:tr w:rsidR="000C024E" w:rsidRPr="00840EC3" w:rsidTr="00F320A7">
        <w:trPr>
          <w:trHeight w:val="273"/>
          <w:jc w:val="right"/>
        </w:trPr>
        <w:tc>
          <w:tcPr>
            <w:tcW w:w="2520" w:type="dxa"/>
          </w:tcPr>
          <w:p w:rsidR="000C024E" w:rsidRPr="00840EC3" w:rsidRDefault="000C024E" w:rsidP="00F320A7">
            <w:pPr>
              <w:rPr>
                <w:szCs w:val="23"/>
              </w:rPr>
            </w:pPr>
            <w:r w:rsidRPr="00840EC3">
              <w:rPr>
                <w:szCs w:val="23"/>
              </w:rPr>
              <w:t>Dementia, including Alzheimer’s</w:t>
            </w:r>
          </w:p>
        </w:tc>
        <w:tc>
          <w:tcPr>
            <w:tcW w:w="2610" w:type="dxa"/>
          </w:tcPr>
          <w:p w:rsidR="000C024E" w:rsidRPr="00840EC3" w:rsidRDefault="000C024E" w:rsidP="00F320A7">
            <w:pPr>
              <w:jc w:val="center"/>
              <w:rPr>
                <w:szCs w:val="23"/>
              </w:rPr>
            </w:pPr>
            <w:r w:rsidRPr="00840EC3">
              <w:rPr>
                <w:noProof/>
                <w:szCs w:val="23"/>
              </w:rPr>
              <w:t>53</w:t>
            </w:r>
            <w:r w:rsidRPr="00840EC3">
              <w:rPr>
                <w:szCs w:val="23"/>
              </w:rPr>
              <w:t>%</w:t>
            </w:r>
          </w:p>
        </w:tc>
      </w:tr>
      <w:tr w:rsidR="000C024E" w:rsidRPr="00840EC3" w:rsidTr="00F320A7">
        <w:trPr>
          <w:trHeight w:val="53"/>
          <w:jc w:val="right"/>
        </w:trPr>
        <w:tc>
          <w:tcPr>
            <w:tcW w:w="2520" w:type="dxa"/>
          </w:tcPr>
          <w:p w:rsidR="000C024E" w:rsidRPr="00840EC3" w:rsidRDefault="000C024E" w:rsidP="00F320A7">
            <w:pPr>
              <w:rPr>
                <w:szCs w:val="23"/>
              </w:rPr>
            </w:pPr>
            <w:r w:rsidRPr="00840EC3">
              <w:rPr>
                <w:szCs w:val="23"/>
              </w:rPr>
              <w:t>Heart Disease</w:t>
            </w:r>
          </w:p>
        </w:tc>
        <w:tc>
          <w:tcPr>
            <w:tcW w:w="2610" w:type="dxa"/>
          </w:tcPr>
          <w:p w:rsidR="000C024E" w:rsidRPr="00840EC3" w:rsidRDefault="000C024E" w:rsidP="00F320A7">
            <w:pPr>
              <w:jc w:val="center"/>
              <w:rPr>
                <w:szCs w:val="23"/>
              </w:rPr>
            </w:pPr>
            <w:r w:rsidRPr="00840EC3">
              <w:rPr>
                <w:noProof/>
                <w:szCs w:val="23"/>
              </w:rPr>
              <w:t>35</w:t>
            </w:r>
            <w:r w:rsidRPr="00840EC3">
              <w:rPr>
                <w:szCs w:val="23"/>
              </w:rPr>
              <w:t>%</w:t>
            </w:r>
          </w:p>
        </w:tc>
      </w:tr>
      <w:tr w:rsidR="000C024E" w:rsidRPr="00840EC3" w:rsidTr="00F320A7">
        <w:trPr>
          <w:trHeight w:val="47"/>
          <w:jc w:val="right"/>
        </w:trPr>
        <w:tc>
          <w:tcPr>
            <w:tcW w:w="2520" w:type="dxa"/>
          </w:tcPr>
          <w:p w:rsidR="000C024E" w:rsidRPr="00840EC3" w:rsidRDefault="000C024E" w:rsidP="00F320A7">
            <w:pPr>
              <w:rPr>
                <w:szCs w:val="23"/>
              </w:rPr>
            </w:pPr>
            <w:r w:rsidRPr="00840EC3">
              <w:rPr>
                <w:szCs w:val="23"/>
              </w:rPr>
              <w:t>Depression</w:t>
            </w:r>
          </w:p>
        </w:tc>
        <w:tc>
          <w:tcPr>
            <w:tcW w:w="2610" w:type="dxa"/>
          </w:tcPr>
          <w:p w:rsidR="000C024E" w:rsidRPr="00840EC3" w:rsidRDefault="000C024E" w:rsidP="00F320A7">
            <w:pPr>
              <w:jc w:val="center"/>
              <w:rPr>
                <w:szCs w:val="23"/>
              </w:rPr>
            </w:pPr>
            <w:r w:rsidRPr="00840EC3">
              <w:rPr>
                <w:noProof/>
                <w:szCs w:val="23"/>
              </w:rPr>
              <w:t>28</w:t>
            </w:r>
            <w:r w:rsidRPr="00840EC3">
              <w:rPr>
                <w:szCs w:val="23"/>
              </w:rPr>
              <w:t>%</w:t>
            </w:r>
          </w:p>
        </w:tc>
      </w:tr>
      <w:tr w:rsidR="000C024E" w:rsidRPr="00840EC3" w:rsidTr="00F320A7">
        <w:trPr>
          <w:trHeight w:val="47"/>
          <w:jc w:val="right"/>
        </w:trPr>
        <w:tc>
          <w:tcPr>
            <w:tcW w:w="2520" w:type="dxa"/>
          </w:tcPr>
          <w:p w:rsidR="000C024E" w:rsidRPr="00840EC3" w:rsidRDefault="000C024E" w:rsidP="00F320A7">
            <w:pPr>
              <w:rPr>
                <w:szCs w:val="23"/>
              </w:rPr>
            </w:pPr>
            <w:r w:rsidRPr="00840EC3">
              <w:rPr>
                <w:szCs w:val="23"/>
              </w:rPr>
              <w:t>Diabetes</w:t>
            </w:r>
          </w:p>
        </w:tc>
        <w:tc>
          <w:tcPr>
            <w:tcW w:w="2610" w:type="dxa"/>
          </w:tcPr>
          <w:p w:rsidR="000C024E" w:rsidRPr="00840EC3" w:rsidRDefault="000C024E" w:rsidP="00F320A7">
            <w:pPr>
              <w:jc w:val="center"/>
              <w:rPr>
                <w:szCs w:val="23"/>
              </w:rPr>
            </w:pPr>
            <w:r w:rsidRPr="00840EC3">
              <w:rPr>
                <w:noProof/>
                <w:szCs w:val="23"/>
              </w:rPr>
              <w:t>24</w:t>
            </w:r>
            <w:r w:rsidRPr="00840EC3">
              <w:rPr>
                <w:szCs w:val="23"/>
              </w:rPr>
              <w:t>%</w:t>
            </w:r>
          </w:p>
        </w:tc>
      </w:tr>
      <w:tr w:rsidR="000C024E" w:rsidRPr="00840EC3" w:rsidTr="00F320A7">
        <w:trPr>
          <w:trHeight w:val="423"/>
          <w:jc w:val="right"/>
        </w:trPr>
        <w:tc>
          <w:tcPr>
            <w:tcW w:w="2520" w:type="dxa"/>
          </w:tcPr>
          <w:p w:rsidR="000C024E" w:rsidRPr="00840EC3" w:rsidRDefault="000C024E" w:rsidP="00F320A7">
            <w:pPr>
              <w:rPr>
                <w:szCs w:val="23"/>
              </w:rPr>
            </w:pPr>
            <w:r w:rsidRPr="00840EC3">
              <w:rPr>
                <w:szCs w:val="23"/>
              </w:rPr>
              <w:t>Intellectual or developmental disability</w:t>
            </w:r>
          </w:p>
        </w:tc>
        <w:tc>
          <w:tcPr>
            <w:tcW w:w="2610" w:type="dxa"/>
          </w:tcPr>
          <w:p w:rsidR="000C024E" w:rsidRPr="00840EC3" w:rsidRDefault="000C024E" w:rsidP="00F320A7">
            <w:pPr>
              <w:jc w:val="center"/>
              <w:rPr>
                <w:szCs w:val="23"/>
              </w:rPr>
            </w:pPr>
            <w:r w:rsidRPr="00840EC3">
              <w:rPr>
                <w:noProof/>
                <w:szCs w:val="23"/>
              </w:rPr>
              <w:t>27</w:t>
            </w:r>
            <w:r w:rsidRPr="00840EC3">
              <w:rPr>
                <w:szCs w:val="23"/>
              </w:rPr>
              <w:t>%</w:t>
            </w:r>
          </w:p>
        </w:tc>
      </w:tr>
    </w:tbl>
    <w:p w:rsidR="000C024E" w:rsidRPr="00840EC3" w:rsidRDefault="000C024E" w:rsidP="000C024E">
      <w:pPr>
        <w:rPr>
          <w:szCs w:val="23"/>
        </w:rPr>
      </w:pPr>
      <w:r w:rsidRPr="00840EC3">
        <w:rPr>
          <w:szCs w:val="23"/>
        </w:rPr>
        <w:t xml:space="preserve">Most people receiving adult day services in </w:t>
      </w:r>
      <w:r w:rsidRPr="00840EC3">
        <w:rPr>
          <w:noProof/>
          <w:szCs w:val="23"/>
        </w:rPr>
        <w:t>Ohio</w:t>
      </w:r>
      <w:r w:rsidRPr="00840EC3">
        <w:rPr>
          <w:szCs w:val="23"/>
        </w:rPr>
        <w:t xml:space="preserve"> are older adults ages 65+ (</w:t>
      </w:r>
      <w:r w:rsidRPr="00840EC3">
        <w:rPr>
          <w:noProof/>
          <w:szCs w:val="23"/>
        </w:rPr>
        <w:t>71</w:t>
      </w:r>
      <w:r w:rsidRPr="00840EC3">
        <w:rPr>
          <w:szCs w:val="23"/>
        </w:rPr>
        <w:t xml:space="preserve">%). </w:t>
      </w:r>
    </w:p>
    <w:p w:rsidR="000C024E" w:rsidRPr="00840EC3" w:rsidRDefault="000C024E" w:rsidP="000C024E">
      <w:pPr>
        <w:rPr>
          <w:szCs w:val="23"/>
        </w:rPr>
      </w:pPr>
      <w:r w:rsidRPr="00840EC3">
        <w:rPr>
          <w:szCs w:val="23"/>
        </w:rPr>
        <w:t>Adult day services centers support people with all sorts of health conditions, including dementia/Alzheimer’s, heart disease, and depression.</w:t>
      </w:r>
      <w:r w:rsidRPr="00840EC3">
        <w:rPr>
          <w:rStyle w:val="EndnoteReference"/>
          <w:szCs w:val="23"/>
        </w:rPr>
        <w:endnoteReference w:id="2"/>
      </w:r>
      <w:r w:rsidRPr="00840EC3">
        <w:rPr>
          <w:szCs w:val="23"/>
        </w:rPr>
        <w:t xml:space="preserve"> </w:t>
      </w:r>
    </w:p>
    <w:p w:rsidR="000C024E" w:rsidRPr="00840EC3" w:rsidRDefault="000C024E" w:rsidP="000C024E">
      <w:pPr>
        <w:rPr>
          <w:b/>
          <w:szCs w:val="23"/>
        </w:rPr>
      </w:pPr>
      <w:r w:rsidRPr="00840EC3">
        <w:rPr>
          <w:szCs w:val="23"/>
        </w:rPr>
        <w:t>People who go to adult day services centers often need help performing functional and personal tasks, including bathing (</w:t>
      </w:r>
      <w:r w:rsidRPr="00840EC3">
        <w:rPr>
          <w:noProof/>
          <w:szCs w:val="23"/>
        </w:rPr>
        <w:t>31</w:t>
      </w:r>
      <w:r w:rsidRPr="00840EC3">
        <w:rPr>
          <w:szCs w:val="23"/>
        </w:rPr>
        <w:t>%), eating (</w:t>
      </w:r>
      <w:r w:rsidRPr="00840EC3">
        <w:rPr>
          <w:noProof/>
          <w:szCs w:val="23"/>
        </w:rPr>
        <w:t>27</w:t>
      </w:r>
      <w:r w:rsidRPr="00840EC3">
        <w:rPr>
          <w:szCs w:val="23"/>
        </w:rPr>
        <w:t>%), using the restroom (</w:t>
      </w:r>
      <w:r w:rsidRPr="00840EC3">
        <w:rPr>
          <w:noProof/>
          <w:szCs w:val="23"/>
        </w:rPr>
        <w:t>40</w:t>
      </w:r>
      <w:r w:rsidRPr="00840EC3">
        <w:rPr>
          <w:szCs w:val="23"/>
        </w:rPr>
        <w:t>%) and transferring in and out of chairs (</w:t>
      </w:r>
      <w:r w:rsidRPr="00840EC3">
        <w:rPr>
          <w:noProof/>
          <w:szCs w:val="23"/>
        </w:rPr>
        <w:t>29</w:t>
      </w:r>
      <w:r w:rsidRPr="00840EC3">
        <w:rPr>
          <w:szCs w:val="23"/>
        </w:rPr>
        <w:t xml:space="preserve">%). Adult day services centers are equipped to help people with each of these basic tasks. </w:t>
      </w:r>
    </w:p>
    <w:p w:rsidR="000C024E" w:rsidRPr="00840EC3" w:rsidRDefault="000C024E" w:rsidP="000C024E">
      <w:pPr>
        <w:rPr>
          <w:b/>
          <w:szCs w:val="23"/>
        </w:rPr>
      </w:pPr>
      <w:r w:rsidRPr="00840EC3">
        <w:rPr>
          <w:b/>
          <w:szCs w:val="23"/>
        </w:rPr>
        <w:t>Adult Day Services Are Cost-Effective</w:t>
      </w:r>
    </w:p>
    <w:p w:rsidR="000C024E" w:rsidRPr="00840EC3" w:rsidRDefault="000C024E" w:rsidP="000C024E">
      <w:pPr>
        <w:rPr>
          <w:szCs w:val="23"/>
        </w:rPr>
      </w:pPr>
      <w:r w:rsidRPr="00840EC3">
        <w:rPr>
          <w:szCs w:val="23"/>
        </w:rPr>
        <w:t xml:space="preserve">Adult day services offer the care people need at a cost lower than other settings. In 2018, the annual average cost of adult day services in </w:t>
      </w:r>
      <w:r w:rsidRPr="00840EC3">
        <w:rPr>
          <w:noProof/>
          <w:szCs w:val="23"/>
        </w:rPr>
        <w:t>Ohio</w:t>
      </w:r>
      <w:r w:rsidRPr="00840EC3">
        <w:rPr>
          <w:szCs w:val="23"/>
        </w:rPr>
        <w:t xml:space="preserve"> was </w:t>
      </w:r>
      <w:r w:rsidRPr="00840EC3">
        <w:rPr>
          <w:noProof/>
          <w:szCs w:val="23"/>
        </w:rPr>
        <w:t>31</w:t>
      </w:r>
      <w:r w:rsidRPr="00840EC3">
        <w:rPr>
          <w:szCs w:val="23"/>
        </w:rPr>
        <w:t xml:space="preserve">% of the cost for assisted living care and </w:t>
      </w:r>
      <w:r w:rsidRPr="00840EC3">
        <w:rPr>
          <w:noProof/>
          <w:szCs w:val="23"/>
        </w:rPr>
        <w:t>19</w:t>
      </w:r>
      <w:r w:rsidRPr="00840EC3">
        <w:rPr>
          <w:szCs w:val="23"/>
        </w:rPr>
        <w:t>% of the annual cost for nursing home care.</w:t>
      </w:r>
      <w:r w:rsidRPr="00840EC3">
        <w:rPr>
          <w:rStyle w:val="EndnoteReference"/>
          <w:szCs w:val="23"/>
        </w:rPr>
        <w:endnoteReference w:id="3"/>
      </w:r>
      <w:r w:rsidRPr="00840EC3">
        <w:rPr>
          <w:szCs w:val="23"/>
          <w:vertAlign w:val="superscript"/>
        </w:rPr>
        <w:t>,</w:t>
      </w:r>
      <w:r w:rsidRPr="00840EC3">
        <w:rPr>
          <w:rStyle w:val="EndnoteReference"/>
          <w:szCs w:val="23"/>
        </w:rPr>
        <w:endnoteReference w:id="4"/>
      </w:r>
      <w:r w:rsidRPr="00840EC3">
        <w:rPr>
          <w:szCs w:val="23"/>
        </w:rPr>
        <w:t xml:space="preserve"> </w:t>
      </w:r>
    </w:p>
    <w:p w:rsidR="000C024E" w:rsidRPr="00840EC3" w:rsidRDefault="000C024E" w:rsidP="000C024E">
      <w:pPr>
        <w:rPr>
          <w:b/>
          <w:szCs w:val="23"/>
        </w:rPr>
      </w:pPr>
    </w:p>
    <w:p w:rsidR="000C024E" w:rsidRPr="00840EC3" w:rsidRDefault="000C024E" w:rsidP="000C024E">
      <w:pPr>
        <w:rPr>
          <w:b/>
          <w:szCs w:val="23"/>
        </w:rPr>
      </w:pPr>
    </w:p>
    <w:p w:rsidR="000C024E" w:rsidRPr="00840EC3" w:rsidRDefault="000C024E" w:rsidP="000C024E">
      <w:pPr>
        <w:rPr>
          <w:b/>
          <w:szCs w:val="23"/>
        </w:rPr>
      </w:pPr>
    </w:p>
    <w:p w:rsidR="000C024E" w:rsidRPr="00840EC3" w:rsidRDefault="000C024E" w:rsidP="000C024E">
      <w:pPr>
        <w:rPr>
          <w:b/>
          <w:szCs w:val="23"/>
        </w:rPr>
      </w:pPr>
      <w:r w:rsidRPr="00840EC3">
        <w:rPr>
          <w:b/>
          <w:szCs w:val="23"/>
        </w:rPr>
        <w:lastRenderedPageBreak/>
        <w:t>Medicaid is an Important Payer for Adult Day Services</w:t>
      </w:r>
    </w:p>
    <w:p w:rsidR="000C024E" w:rsidRPr="00840EC3" w:rsidRDefault="000C024E" w:rsidP="000C024E">
      <w:pPr>
        <w:pStyle w:val="ListParagraph"/>
        <w:numPr>
          <w:ilvl w:val="0"/>
          <w:numId w:val="1"/>
        </w:numPr>
        <w:ind w:left="360"/>
        <w:rPr>
          <w:szCs w:val="23"/>
        </w:rPr>
      </w:pPr>
      <w:r w:rsidRPr="00840EC3">
        <w:rPr>
          <w:szCs w:val="23"/>
        </w:rPr>
        <w:t xml:space="preserve">More than half of adult day services participants in </w:t>
      </w:r>
      <w:r w:rsidRPr="00840EC3">
        <w:rPr>
          <w:noProof/>
          <w:szCs w:val="23"/>
        </w:rPr>
        <w:t>Ohio</w:t>
      </w:r>
      <w:r w:rsidRPr="00840EC3">
        <w:rPr>
          <w:szCs w:val="23"/>
        </w:rPr>
        <w:t xml:space="preserve"> have some or </w:t>
      </w:r>
      <w:proofErr w:type="gramStart"/>
      <w:r w:rsidRPr="00840EC3">
        <w:rPr>
          <w:szCs w:val="23"/>
        </w:rPr>
        <w:t>all of</w:t>
      </w:r>
      <w:proofErr w:type="gramEnd"/>
      <w:r w:rsidRPr="00840EC3">
        <w:rPr>
          <w:szCs w:val="23"/>
        </w:rPr>
        <w:t xml:space="preserve"> their care paid for by Medicaid. (</w:t>
      </w:r>
      <w:r w:rsidRPr="00840EC3">
        <w:rPr>
          <w:noProof/>
          <w:szCs w:val="23"/>
        </w:rPr>
        <w:t>54</w:t>
      </w:r>
      <w:r w:rsidRPr="00840EC3">
        <w:rPr>
          <w:szCs w:val="23"/>
        </w:rPr>
        <w:t xml:space="preserve">%). </w:t>
      </w:r>
      <w:r w:rsidRPr="00840EC3">
        <w:rPr>
          <w:rStyle w:val="EndnoteReference"/>
          <w:szCs w:val="23"/>
        </w:rPr>
        <w:endnoteReference w:id="5"/>
      </w:r>
    </w:p>
    <w:p w:rsidR="000C024E" w:rsidRPr="00840EC3" w:rsidRDefault="000C024E" w:rsidP="000C024E">
      <w:pPr>
        <w:pStyle w:val="ListParagraph"/>
        <w:numPr>
          <w:ilvl w:val="0"/>
          <w:numId w:val="1"/>
        </w:numPr>
        <w:ind w:left="360"/>
        <w:rPr>
          <w:szCs w:val="23"/>
        </w:rPr>
      </w:pPr>
      <w:r w:rsidRPr="00840EC3">
        <w:rPr>
          <w:szCs w:val="23"/>
        </w:rPr>
        <w:t>More than half (57%) of adult day services providers nationally get more than 50% of their revenue from Medicaid dollars.</w:t>
      </w:r>
      <w:r w:rsidRPr="00840EC3">
        <w:rPr>
          <w:rStyle w:val="EndnoteReference"/>
          <w:szCs w:val="23"/>
        </w:rPr>
        <w:endnoteReference w:id="6"/>
      </w:r>
    </w:p>
    <w:p w:rsidR="00CF0430" w:rsidRDefault="00CF0430" w:rsidP="000C024E">
      <w:pPr>
        <w:pStyle w:val="ListParagraph"/>
        <w:numPr>
          <w:ilvl w:val="0"/>
          <w:numId w:val="1"/>
        </w:numPr>
        <w:ind w:left="360"/>
        <w:rPr>
          <w:szCs w:val="23"/>
        </w:rPr>
      </w:pPr>
      <w:r>
        <w:rPr>
          <w:szCs w:val="23"/>
        </w:rPr>
        <w:t xml:space="preserve">Through the PASSPORT waiver, Ohio reimburses </w:t>
      </w:r>
      <w:r w:rsidRPr="00840EC3">
        <w:rPr>
          <w:szCs w:val="23"/>
        </w:rPr>
        <w:t>Medicaid-funded adult day services</w:t>
      </w:r>
      <w:r>
        <w:rPr>
          <w:szCs w:val="23"/>
        </w:rPr>
        <w:t xml:space="preserve"> for older adults at a rate of $49.39 per day for enhanced services and $64.84 for intensive services.</w:t>
      </w:r>
      <w:r>
        <w:rPr>
          <w:rStyle w:val="EndnoteReference"/>
          <w:szCs w:val="23"/>
        </w:rPr>
        <w:endnoteReference w:id="7"/>
      </w:r>
      <w:r>
        <w:rPr>
          <w:szCs w:val="23"/>
        </w:rPr>
        <w:t xml:space="preserve"> </w:t>
      </w:r>
    </w:p>
    <w:p w:rsidR="000C024E" w:rsidRPr="00840EC3" w:rsidRDefault="000C024E" w:rsidP="000C024E">
      <w:pPr>
        <w:rPr>
          <w:b/>
          <w:szCs w:val="23"/>
        </w:rPr>
      </w:pPr>
      <w:r w:rsidRPr="00840EC3">
        <w:rPr>
          <w:b/>
          <w:noProof/>
          <w:szCs w:val="23"/>
        </w:rPr>
        <w:t>Ohio</w:t>
      </w:r>
      <w:r w:rsidRPr="00840EC3">
        <w:rPr>
          <w:b/>
          <w:szCs w:val="23"/>
        </w:rPr>
        <w:t>’s Aging Population is Growing- and Itself Getting Older</w:t>
      </w:r>
    </w:p>
    <w:p w:rsidR="000C024E" w:rsidRPr="00840EC3" w:rsidRDefault="000C024E" w:rsidP="000C024E">
      <w:pPr>
        <w:pStyle w:val="ListParagraph"/>
        <w:numPr>
          <w:ilvl w:val="0"/>
          <w:numId w:val="1"/>
        </w:numPr>
        <w:ind w:left="360"/>
        <w:rPr>
          <w:szCs w:val="23"/>
        </w:rPr>
      </w:pPr>
      <w:r w:rsidRPr="00840EC3">
        <w:rPr>
          <w:szCs w:val="23"/>
        </w:rPr>
        <w:t xml:space="preserve">By 2030, the Boomer generation will be 65 years of age or older, and many Boomers will be in their 80s. In </w:t>
      </w:r>
      <w:r w:rsidRPr="00840EC3">
        <w:rPr>
          <w:noProof/>
          <w:szCs w:val="23"/>
        </w:rPr>
        <w:t>Ohio</w:t>
      </w:r>
      <w:r w:rsidRPr="00840EC3">
        <w:rPr>
          <w:szCs w:val="23"/>
        </w:rPr>
        <w:t xml:space="preserve">, the 65+ population is projected to grow by </w:t>
      </w:r>
      <w:r w:rsidRPr="00840EC3">
        <w:rPr>
          <w:b/>
          <w:noProof/>
          <w:szCs w:val="23"/>
        </w:rPr>
        <w:t>66</w:t>
      </w:r>
      <w:r w:rsidRPr="00840EC3">
        <w:rPr>
          <w:b/>
          <w:szCs w:val="23"/>
        </w:rPr>
        <w:t>% from 2010 to 2030</w:t>
      </w:r>
      <w:r w:rsidRPr="00840EC3">
        <w:rPr>
          <w:szCs w:val="23"/>
        </w:rPr>
        <w:t xml:space="preserve">, and the </w:t>
      </w:r>
      <w:r w:rsidRPr="00840EC3">
        <w:rPr>
          <w:b/>
          <w:szCs w:val="23"/>
        </w:rPr>
        <w:t>85+ population</w:t>
      </w:r>
      <w:r w:rsidRPr="00840EC3">
        <w:rPr>
          <w:szCs w:val="23"/>
        </w:rPr>
        <w:t xml:space="preserve"> is expected to grow by </w:t>
      </w:r>
      <w:r w:rsidRPr="00840EC3">
        <w:rPr>
          <w:b/>
          <w:noProof/>
          <w:szCs w:val="23"/>
        </w:rPr>
        <w:t>37</w:t>
      </w:r>
      <w:r w:rsidRPr="00840EC3">
        <w:rPr>
          <w:b/>
          <w:szCs w:val="23"/>
        </w:rPr>
        <w:t>%</w:t>
      </w:r>
      <w:r w:rsidRPr="00840EC3">
        <w:rPr>
          <w:szCs w:val="23"/>
        </w:rPr>
        <w:t>.</w:t>
      </w:r>
      <w:r w:rsidRPr="00840EC3">
        <w:rPr>
          <w:rStyle w:val="EndnoteReference"/>
          <w:szCs w:val="23"/>
        </w:rPr>
        <w:endnoteReference w:id="8"/>
      </w:r>
      <w:r w:rsidRPr="00840EC3">
        <w:rPr>
          <w:szCs w:val="23"/>
        </w:rPr>
        <w:t xml:space="preserve"> </w:t>
      </w:r>
    </w:p>
    <w:p w:rsidR="000C024E" w:rsidRPr="00840EC3" w:rsidRDefault="000C024E" w:rsidP="000C024E">
      <w:pPr>
        <w:pStyle w:val="ListParagraph"/>
        <w:numPr>
          <w:ilvl w:val="0"/>
          <w:numId w:val="1"/>
        </w:numPr>
        <w:ind w:left="360"/>
        <w:rPr>
          <w:b/>
          <w:szCs w:val="23"/>
        </w:rPr>
      </w:pPr>
      <w:r w:rsidRPr="00840EC3">
        <w:rPr>
          <w:szCs w:val="23"/>
        </w:rPr>
        <w:t>Demand for aging services across the continuum will increase significantly to meet the needs of our changing population – and</w:t>
      </w:r>
      <w:r w:rsidRPr="00840EC3">
        <w:rPr>
          <w:b/>
          <w:szCs w:val="23"/>
        </w:rPr>
        <w:t xml:space="preserve"> adult day services are in position to be a cost-effective, high-quality provider of this care. </w:t>
      </w:r>
    </w:p>
    <w:p w:rsidR="000C024E" w:rsidRPr="00840EC3" w:rsidRDefault="000C024E" w:rsidP="000C024E">
      <w:pPr>
        <w:rPr>
          <w:b/>
          <w:szCs w:val="23"/>
        </w:rPr>
      </w:pPr>
      <w:r w:rsidRPr="00840EC3">
        <w:rPr>
          <w:b/>
          <w:szCs w:val="23"/>
        </w:rPr>
        <w:t>About LeadingAge</w:t>
      </w:r>
    </w:p>
    <w:p w:rsidR="000C024E" w:rsidRDefault="000C024E" w:rsidP="000C024E">
      <w:pPr>
        <w:rPr>
          <w:szCs w:val="23"/>
        </w:rPr>
      </w:pPr>
      <w:r w:rsidRPr="00840EC3">
        <w:rPr>
          <w:szCs w:val="23"/>
        </w:rPr>
        <w:t>The mission of LeadingAge is to be the trusted voice for aging. Our 6,000+ members and partners include nonprofit organizations representing the entire field of aging services, 38 state associations, hundreds of businesses, consumer groups, foundations and research centers. LeadingAge is also a part of the Global Ageing Network, whose membership spans 30 countries. LeadingAge is a 501(c)(3) tax-exempt charitable organization focused on education, advocacy and applied research.</w:t>
      </w:r>
    </w:p>
    <w:p w:rsidR="000C024E" w:rsidRDefault="000C024E" w:rsidP="000C024E">
      <w:pPr>
        <w:rPr>
          <w:szCs w:val="23"/>
        </w:rPr>
      </w:pPr>
    </w:p>
    <w:p w:rsidR="000C024E" w:rsidRPr="005B6E15" w:rsidRDefault="000C024E" w:rsidP="000C0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23"/>
        </w:rPr>
      </w:pPr>
      <w:r w:rsidRPr="005B6E15">
        <w:rPr>
          <w:sz w:val="18"/>
          <w:szCs w:val="23"/>
        </w:rPr>
        <w:t xml:space="preserve">Prepared by Brendan Flinn, Director of Home and Community-Based Services, LeadingAge. Comments and questions on this document can be directed to his inbox at </w:t>
      </w:r>
      <w:hyperlink r:id="rId8" w:history="1">
        <w:r w:rsidRPr="005B6E15">
          <w:rPr>
            <w:rStyle w:val="Hyperlink"/>
            <w:sz w:val="18"/>
            <w:szCs w:val="23"/>
          </w:rPr>
          <w:t>bflinn@leadingage.org</w:t>
        </w:r>
      </w:hyperlink>
      <w:r w:rsidRPr="005B6E15">
        <w:rPr>
          <w:sz w:val="18"/>
          <w:szCs w:val="23"/>
        </w:rPr>
        <w:t xml:space="preserve"> </w:t>
      </w:r>
    </w:p>
    <w:sectPr w:rsidR="000C024E" w:rsidRPr="005B6E15" w:rsidSect="002E660F">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62" w:rsidRDefault="00CB1862" w:rsidP="002E660F">
      <w:pPr>
        <w:spacing w:after="0" w:line="240" w:lineRule="auto"/>
      </w:pPr>
      <w:r>
        <w:separator/>
      </w:r>
    </w:p>
  </w:endnote>
  <w:endnote w:type="continuationSeparator" w:id="0">
    <w:p w:rsidR="00CB1862" w:rsidRDefault="00CB1862" w:rsidP="002E660F">
      <w:pPr>
        <w:spacing w:after="0" w:line="240" w:lineRule="auto"/>
      </w:pPr>
      <w:r>
        <w:continuationSeparator/>
      </w:r>
    </w:p>
  </w:endnote>
  <w:endnote w:id="1">
    <w:p w:rsidR="000C024E" w:rsidRPr="005A2C57" w:rsidRDefault="000C024E" w:rsidP="000C024E">
      <w:pPr>
        <w:pStyle w:val="EndnoteText"/>
        <w:rPr>
          <w:sz w:val="18"/>
          <w:szCs w:val="18"/>
        </w:rPr>
      </w:pPr>
      <w:r w:rsidRPr="005A2C57">
        <w:rPr>
          <w:rStyle w:val="EndnoteReference"/>
          <w:sz w:val="18"/>
          <w:szCs w:val="18"/>
        </w:rPr>
        <w:endnoteRef/>
      </w:r>
      <w:r w:rsidRPr="005A2C57">
        <w:rPr>
          <w:sz w:val="18"/>
          <w:szCs w:val="18"/>
        </w:rPr>
        <w:t xml:space="preserve"> Long-Term Care Providers and Services Users in the United States—State Estimates Supplement: National Study of Long-Term Care Providers, 2013–2014, </w:t>
      </w:r>
      <w:hyperlink r:id="rId1" w:history="1">
        <w:r w:rsidRPr="005A2C57">
          <w:rPr>
            <w:rStyle w:val="Hyperlink"/>
            <w:sz w:val="18"/>
            <w:szCs w:val="18"/>
          </w:rPr>
          <w:t>https://www.cdc.gov/nchs/data/nsltcp/2014_nsltcp_state_tables.pdf</w:t>
        </w:r>
      </w:hyperlink>
      <w:r w:rsidRPr="005A2C57">
        <w:rPr>
          <w:sz w:val="18"/>
          <w:szCs w:val="18"/>
        </w:rPr>
        <w:t xml:space="preserve"> </w:t>
      </w:r>
    </w:p>
  </w:endnote>
  <w:endnote w:id="2">
    <w:p w:rsidR="000C024E" w:rsidRPr="005A2C57" w:rsidRDefault="000C024E" w:rsidP="000C024E">
      <w:pPr>
        <w:pStyle w:val="EndnoteText"/>
        <w:rPr>
          <w:sz w:val="18"/>
          <w:szCs w:val="18"/>
        </w:rPr>
      </w:pPr>
      <w:r w:rsidRPr="005A2C57">
        <w:rPr>
          <w:rStyle w:val="EndnoteReference"/>
          <w:sz w:val="18"/>
          <w:szCs w:val="18"/>
        </w:rPr>
        <w:endnoteRef/>
      </w:r>
      <w:r w:rsidRPr="005A2C57">
        <w:rPr>
          <w:sz w:val="18"/>
          <w:szCs w:val="18"/>
        </w:rPr>
        <w:t xml:space="preserve"> 2016 National Study of Long-Term Care Providers, Web Tables of State Estimates on Adult Day Services Center Participants  </w:t>
      </w:r>
      <w:hyperlink r:id="rId2" w:history="1">
        <w:r w:rsidRPr="005A2C57">
          <w:rPr>
            <w:rStyle w:val="Hyperlink"/>
            <w:sz w:val="18"/>
            <w:szCs w:val="18"/>
          </w:rPr>
          <w:t>https://www.cdc.gov/nchs/data/nsltcp/State_estimates_for_NCHS_Data_Brief_296.pdf</w:t>
        </w:r>
      </w:hyperlink>
    </w:p>
  </w:endnote>
  <w:endnote w:id="3">
    <w:p w:rsidR="000C024E" w:rsidRPr="005A2C57" w:rsidRDefault="000C024E" w:rsidP="000C024E">
      <w:pPr>
        <w:pStyle w:val="EndnoteText"/>
        <w:rPr>
          <w:sz w:val="18"/>
          <w:szCs w:val="18"/>
        </w:rPr>
      </w:pPr>
      <w:r w:rsidRPr="005A2C57">
        <w:rPr>
          <w:rStyle w:val="EndnoteReference"/>
          <w:sz w:val="18"/>
          <w:szCs w:val="18"/>
        </w:rPr>
        <w:endnoteRef/>
      </w:r>
      <w:r w:rsidRPr="005A2C57">
        <w:rPr>
          <w:sz w:val="18"/>
          <w:szCs w:val="18"/>
        </w:rPr>
        <w:t xml:space="preserve"> Cost comparison assumes full-day adult day services five days per week, and year-long residencies at assisted living sites and/or nursing homes.</w:t>
      </w:r>
    </w:p>
  </w:endnote>
  <w:endnote w:id="4">
    <w:p w:rsidR="000C024E" w:rsidRPr="005A2C57" w:rsidRDefault="000C024E" w:rsidP="000C024E">
      <w:pPr>
        <w:spacing w:after="0"/>
        <w:rPr>
          <w:sz w:val="18"/>
          <w:szCs w:val="18"/>
        </w:rPr>
      </w:pPr>
      <w:r w:rsidRPr="005A2C57">
        <w:rPr>
          <w:rStyle w:val="EndnoteReference"/>
          <w:sz w:val="18"/>
          <w:szCs w:val="18"/>
        </w:rPr>
        <w:endnoteRef/>
      </w:r>
      <w:r w:rsidRPr="005A2C57">
        <w:rPr>
          <w:sz w:val="18"/>
          <w:szCs w:val="18"/>
        </w:rPr>
        <w:t xml:space="preserve"> Cost of Care Survey 2018, </w:t>
      </w:r>
      <w:hyperlink r:id="rId3" w:history="1">
        <w:r w:rsidRPr="005A2C57">
          <w:rPr>
            <w:rStyle w:val="Hyperlink"/>
            <w:sz w:val="18"/>
            <w:szCs w:val="18"/>
          </w:rPr>
          <w:t>https://www.genworth.com/aging-and-you/finances/cost-of-care.html</w:t>
        </w:r>
      </w:hyperlink>
      <w:r w:rsidRPr="005A2C57">
        <w:rPr>
          <w:sz w:val="18"/>
          <w:szCs w:val="18"/>
        </w:rPr>
        <w:t xml:space="preserve"> </w:t>
      </w:r>
    </w:p>
  </w:endnote>
  <w:endnote w:id="5">
    <w:p w:rsidR="000C024E" w:rsidRPr="005A2C57" w:rsidRDefault="000C024E" w:rsidP="000C024E">
      <w:pPr>
        <w:pStyle w:val="EndnoteText"/>
        <w:rPr>
          <w:sz w:val="18"/>
          <w:szCs w:val="18"/>
        </w:rPr>
      </w:pPr>
      <w:r w:rsidRPr="005A2C57">
        <w:rPr>
          <w:rStyle w:val="EndnoteReference"/>
          <w:sz w:val="18"/>
          <w:szCs w:val="18"/>
        </w:rPr>
        <w:endnoteRef/>
      </w:r>
      <w:r w:rsidRPr="005A2C57">
        <w:rPr>
          <w:sz w:val="18"/>
          <w:szCs w:val="18"/>
        </w:rPr>
        <w:t xml:space="preserve"> 2016 National Study of Long-Term Care Providers, Web Tables of State Estimates on Adult Day Services Center Participants  </w:t>
      </w:r>
      <w:hyperlink r:id="rId4" w:history="1">
        <w:r w:rsidRPr="005A2C57">
          <w:rPr>
            <w:rStyle w:val="Hyperlink"/>
            <w:sz w:val="18"/>
            <w:szCs w:val="18"/>
          </w:rPr>
          <w:t>https://www.cdc.gov/nchs/data/nsltcp/State_estimates_for_NCHS_Data_Brief_296.pdf</w:t>
        </w:r>
      </w:hyperlink>
    </w:p>
  </w:endnote>
  <w:endnote w:id="6">
    <w:p w:rsidR="000C024E" w:rsidRPr="005A2C57" w:rsidRDefault="000C024E" w:rsidP="000C024E">
      <w:pPr>
        <w:pStyle w:val="EndnoteText"/>
        <w:rPr>
          <w:sz w:val="18"/>
          <w:szCs w:val="18"/>
        </w:rPr>
      </w:pPr>
      <w:r w:rsidRPr="005A2C57">
        <w:rPr>
          <w:rStyle w:val="EndnoteReference"/>
          <w:sz w:val="18"/>
          <w:szCs w:val="18"/>
        </w:rPr>
        <w:endnoteRef/>
      </w:r>
      <w:r w:rsidRPr="005A2C57">
        <w:rPr>
          <w:sz w:val="18"/>
          <w:szCs w:val="18"/>
        </w:rPr>
        <w:t xml:space="preserve"> National Study of Long-Term Care Providers, 2015–2016, Weighted National Estimates and Standard Errors, </w:t>
      </w:r>
      <w:hyperlink r:id="rId5" w:history="1">
        <w:r w:rsidRPr="005A2C57">
          <w:rPr>
            <w:rStyle w:val="Hyperlink"/>
            <w:sz w:val="18"/>
            <w:szCs w:val="18"/>
          </w:rPr>
          <w:t>https://www.cdc.gov/nchs/data/nsltcp/2016_NSLTCP_ADSC_Weighted_Estimates.pdf</w:t>
        </w:r>
      </w:hyperlink>
      <w:r w:rsidRPr="005A2C57">
        <w:rPr>
          <w:sz w:val="18"/>
          <w:szCs w:val="18"/>
        </w:rPr>
        <w:t xml:space="preserve"> </w:t>
      </w:r>
    </w:p>
  </w:endnote>
  <w:endnote w:id="7">
    <w:p w:rsidR="00CF0430" w:rsidRDefault="00CF0430">
      <w:pPr>
        <w:pStyle w:val="EndnoteText"/>
      </w:pPr>
      <w:r>
        <w:rPr>
          <w:rStyle w:val="EndnoteReference"/>
        </w:rPr>
        <w:endnoteRef/>
      </w:r>
      <w:r>
        <w:rPr>
          <w:rStyle w:val="EndnoteReference"/>
        </w:rPr>
        <w:endnoteRef/>
      </w:r>
      <w:r>
        <w:t xml:space="preserve"> Appendix A 5160-1-06.1 PASSPORT Waiver Rates, </w:t>
      </w:r>
      <w:hyperlink r:id="rId6" w:history="1">
        <w:r>
          <w:rPr>
            <w:rStyle w:val="Hyperlink"/>
          </w:rPr>
          <w:t>http://codes.ohio.gov/pdf/oh/admin/2018/5160-1-06-1_ph_wdp_a_app1_20170927_0854.pdf</w:t>
        </w:r>
      </w:hyperlink>
    </w:p>
  </w:endnote>
  <w:endnote w:id="8">
    <w:p w:rsidR="000C024E" w:rsidRDefault="000C024E" w:rsidP="000C024E">
      <w:pPr>
        <w:pStyle w:val="EndnoteText"/>
      </w:pPr>
      <w:r w:rsidRPr="005A2C57">
        <w:rPr>
          <w:rStyle w:val="EndnoteReference"/>
          <w:sz w:val="18"/>
          <w:szCs w:val="18"/>
        </w:rPr>
        <w:endnoteRef/>
      </w:r>
      <w:r w:rsidRPr="005A2C57">
        <w:rPr>
          <w:sz w:val="18"/>
          <w:szCs w:val="18"/>
        </w:rPr>
        <w:t xml:space="preserve"> AARP Data Explorer, </w:t>
      </w:r>
      <w:hyperlink r:id="rId7" w:history="1">
        <w:r w:rsidRPr="005A2C57">
          <w:rPr>
            <w:rStyle w:val="Hyperlink"/>
            <w:sz w:val="18"/>
            <w:szCs w:val="18"/>
          </w:rPr>
          <w:t>https://dataexplorer.aarp.org/indicator/155/percent-increase-in-population-since-2010-projected-by-age-sex-and-raceethnicity#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62" w:rsidRDefault="00CB1862" w:rsidP="002E660F">
      <w:pPr>
        <w:spacing w:after="0" w:line="240" w:lineRule="auto"/>
      </w:pPr>
      <w:r>
        <w:separator/>
      </w:r>
    </w:p>
  </w:footnote>
  <w:footnote w:type="continuationSeparator" w:id="0">
    <w:p w:rsidR="00CB1862" w:rsidRDefault="00CB1862" w:rsidP="002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F" w:rsidRDefault="002E660F">
    <w:pPr>
      <w:pStyle w:val="Header"/>
    </w:pPr>
    <w:r>
      <w:rPr>
        <w:noProof/>
      </w:rPr>
      <w:drawing>
        <wp:anchor distT="0" distB="0" distL="114300" distR="114300" simplePos="0" relativeHeight="251658240" behindDoc="1" locked="1" layoutInCell="1" allowOverlap="0">
          <wp:simplePos x="0" y="0"/>
          <wp:positionH relativeFrom="column">
            <wp:align>center</wp:align>
          </wp:positionH>
          <wp:positionV relativeFrom="page">
            <wp:align>center</wp:align>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DE4671F"/>
    <w:multiLevelType w:val="hybridMultilevel"/>
    <w:tmpl w:val="BF8E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4E"/>
    <w:rsid w:val="000C024E"/>
    <w:rsid w:val="0017161A"/>
    <w:rsid w:val="002E660F"/>
    <w:rsid w:val="00840EC3"/>
    <w:rsid w:val="00C9616A"/>
    <w:rsid w:val="00CB1862"/>
    <w:rsid w:val="00CF0430"/>
    <w:rsid w:val="00F9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E9080B-7426-423C-8ECE-AA075184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table" w:styleId="TableGrid">
    <w:name w:val="Table Grid"/>
    <w:basedOn w:val="TableNormal"/>
    <w:uiPriority w:val="39"/>
    <w:rsid w:val="000C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02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24E"/>
    <w:rPr>
      <w:sz w:val="20"/>
      <w:szCs w:val="20"/>
    </w:rPr>
  </w:style>
  <w:style w:type="character" w:styleId="EndnoteReference">
    <w:name w:val="endnote reference"/>
    <w:basedOn w:val="DefaultParagraphFont"/>
    <w:uiPriority w:val="99"/>
    <w:semiHidden/>
    <w:unhideWhenUsed/>
    <w:rsid w:val="000C024E"/>
    <w:rPr>
      <w:vertAlign w:val="superscript"/>
    </w:rPr>
  </w:style>
  <w:style w:type="character" w:styleId="Hyperlink">
    <w:name w:val="Hyperlink"/>
    <w:basedOn w:val="DefaultParagraphFont"/>
    <w:uiPriority w:val="99"/>
    <w:unhideWhenUsed/>
    <w:rsid w:val="000C024E"/>
    <w:rPr>
      <w:color w:val="0563C1" w:themeColor="hyperlink"/>
      <w:u w:val="single"/>
    </w:rPr>
  </w:style>
  <w:style w:type="paragraph" w:styleId="ListParagraph">
    <w:name w:val="List Paragraph"/>
    <w:basedOn w:val="Normal"/>
    <w:uiPriority w:val="34"/>
    <w:qFormat/>
    <w:rsid w:val="000C024E"/>
    <w:pPr>
      <w:ind w:left="720"/>
      <w:contextualSpacing/>
    </w:pPr>
  </w:style>
  <w:style w:type="character" w:customStyle="1" w:styleId="UnresolvedMention">
    <w:name w:val="Unresolved Mention"/>
    <w:basedOn w:val="DefaultParagraphFont"/>
    <w:uiPriority w:val="99"/>
    <w:semiHidden/>
    <w:unhideWhenUsed/>
    <w:rsid w:val="000C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linn@leading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genworth.com/aging-and-you/finances/cost-of-care.html" TargetMode="External"/><Relationship Id="rId7" Type="http://schemas.openxmlformats.org/officeDocument/2006/relationships/hyperlink" Target="https://dataexplorer.aarp.org/indicator/155/percent-increase-in-population-since-2010-projected-by-age-sex-and-raceethnicity" TargetMode="External"/><Relationship Id="rId2" Type="http://schemas.openxmlformats.org/officeDocument/2006/relationships/hyperlink" Target="https://www.cdc.gov/nchs/data/nsltcp/State_estimates_for_NCHS_Data_Brief_296.pdf" TargetMode="External"/><Relationship Id="rId1" Type="http://schemas.openxmlformats.org/officeDocument/2006/relationships/hyperlink" Target="https://www.cdc.gov/nchs/data/nsltcp/2014_nsltcp_state_tables.pdf" TargetMode="External"/><Relationship Id="rId6" Type="http://schemas.openxmlformats.org/officeDocument/2006/relationships/hyperlink" Target="http://codes.ohio.gov/pdf/oh/admin/2018/5160-1-06-1_ph_wdp_a_app1_20170927_0854.pdf" TargetMode="External"/><Relationship Id="rId5" Type="http://schemas.openxmlformats.org/officeDocument/2006/relationships/hyperlink" Target="https://www.cdc.gov/nchs/data/nsltcp/2016_NSLTCP_ADSC_Weighted_Estimates.pdf" TargetMode="External"/><Relationship Id="rId4" Type="http://schemas.openxmlformats.org/officeDocument/2006/relationships/hyperlink" Target="https://www.cdc.gov/nchs/data/nsltcp/State_estimates_for_NCHS_Data_Brief_29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5DD5-08AF-4369-8F3B-F4213922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LeadingAge Letterhead</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Flinn</dc:creator>
  <cp:keywords/>
  <dc:description/>
  <cp:lastModifiedBy>Patrick Schwartz</cp:lastModifiedBy>
  <cp:revision>2</cp:revision>
  <dcterms:created xsi:type="dcterms:W3CDTF">2019-08-06T22:16:00Z</dcterms:created>
  <dcterms:modified xsi:type="dcterms:W3CDTF">2019-08-06T22:16:00Z</dcterms:modified>
</cp:coreProperties>
</file>